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1" w:rsidRDefault="00546ED1" w:rsidP="00546ED1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33F209A" wp14:editId="47D28864">
            <wp:extent cx="67119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D1" w:rsidRDefault="00546ED1" w:rsidP="00546ED1">
      <w:pPr>
        <w:rPr>
          <w:sz w:val="28"/>
          <w:szCs w:val="28"/>
          <w:lang w:eastAsia="en-US"/>
        </w:rPr>
      </w:pPr>
    </w:p>
    <w:p w:rsidR="00546ED1" w:rsidRPr="00B4679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</w:t>
      </w:r>
      <w:bookmarkStart w:id="0" w:name="_GoBack"/>
      <w:bookmarkEnd w:id="0"/>
      <w:r w:rsidRPr="00B4679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46ED1" w:rsidRPr="00B4679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D1" w:rsidRPr="00B4679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D1" w:rsidRPr="00B4679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D1" w:rsidRPr="00B4679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6ED1" w:rsidRDefault="00546ED1" w:rsidP="00546E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D1" w:rsidRDefault="00546ED1" w:rsidP="00546ED1">
      <w:pPr>
        <w:jc w:val="both"/>
        <w:rPr>
          <w:rFonts w:ascii="Times New Roman" w:hAnsi="Times New Roman" w:cs="Times New Roman"/>
          <w:sz w:val="28"/>
          <w:szCs w:val="28"/>
        </w:rPr>
      </w:pPr>
      <w:r w:rsidRPr="00546ED1">
        <w:rPr>
          <w:rFonts w:ascii="Times New Roman" w:hAnsi="Times New Roman" w:cs="Times New Roman"/>
          <w:sz w:val="28"/>
          <w:szCs w:val="28"/>
        </w:rPr>
        <w:t>от 23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21F2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F22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546ED1" w:rsidRDefault="00546ED1" w:rsidP="0054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D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№ 54 от 24 мая 2017 года «Об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proofErr w:type="spellStart"/>
      <w:r w:rsidRPr="00546ED1">
        <w:rPr>
          <w:rFonts w:ascii="Times New Roman" w:hAnsi="Times New Roman" w:cs="Times New Roman"/>
          <w:b/>
          <w:sz w:val="28"/>
          <w:szCs w:val="28"/>
        </w:rPr>
        <w:t>Селивановское</w:t>
      </w:r>
      <w:proofErr w:type="spellEnd"/>
      <w:r w:rsidRPr="00546ED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46ED1" w:rsidRDefault="00546ED1" w:rsidP="00546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D1" w:rsidRDefault="00546ED1" w:rsidP="00546E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D1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</w:t>
      </w:r>
      <w:r w:rsidRPr="00546ED1">
        <w:rPr>
          <w:rFonts w:ascii="Times New Roman" w:hAnsi="Times New Roman" w:cs="Times New Roman"/>
          <w:sz w:val="28"/>
          <w:szCs w:val="28"/>
        </w:rPr>
        <w:t>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6ED1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6ED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546ED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546ED1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546ED1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546ED1">
        <w:rPr>
          <w:rFonts w:ascii="Times New Roman" w:hAnsi="Times New Roman" w:cs="Times New Roman"/>
          <w:sz w:val="28"/>
          <w:szCs w:val="28"/>
        </w:rPr>
        <w:t xml:space="preserve"> поселение,  администрация муниципального образования </w:t>
      </w:r>
      <w:proofErr w:type="spellStart"/>
      <w:r w:rsidRPr="00546ED1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546E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</w:p>
    <w:p w:rsidR="00546ED1" w:rsidRDefault="00546ED1" w:rsidP="00546E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ED1" w:rsidRDefault="00546ED1" w:rsidP="00546E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и дополнения в постановление № 54 от 24 мая 2017 года</w:t>
      </w:r>
      <w:r w:rsidR="00274BF3">
        <w:rPr>
          <w:rFonts w:ascii="Times New Roman" w:hAnsi="Times New Roman" w:cs="Times New Roman"/>
          <w:sz w:val="28"/>
          <w:szCs w:val="28"/>
        </w:rPr>
        <w:t>:</w:t>
      </w:r>
    </w:p>
    <w:p w:rsidR="00274BF3" w:rsidRDefault="00274BF3" w:rsidP="00546E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1.1.Дополнить п.1.10 </w:t>
      </w:r>
      <w:r w:rsidR="009A42D2">
        <w:rPr>
          <w:rFonts w:ascii="Times New Roman" w:hAnsi="Times New Roman" w:cs="Times New Roman"/>
          <w:sz w:val="28"/>
          <w:szCs w:val="28"/>
        </w:rPr>
        <w:t xml:space="preserve">ст. 1 «Общие положения»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C7986">
        <w:rPr>
          <w:rFonts w:ascii="Times New Roman" w:hAnsi="Times New Roman" w:cs="Times New Roman"/>
          <w:sz w:val="28"/>
          <w:szCs w:val="28"/>
        </w:rPr>
        <w:t xml:space="preserve"> следующими правами проверяемых лиц</w:t>
      </w:r>
      <w:r>
        <w:rPr>
          <w:rFonts w:ascii="Times New Roman" w:hAnsi="Times New Roman" w:cs="Times New Roman"/>
          <w:sz w:val="28"/>
          <w:szCs w:val="28"/>
        </w:rPr>
        <w:t xml:space="preserve"> и читать в новой редакции:</w:t>
      </w:r>
    </w:p>
    <w:p w:rsidR="00274BF3" w:rsidRDefault="009A42D2" w:rsidP="00546E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BF3" w:rsidRPr="00274BF3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274BF3" w:rsidRDefault="009A42D2" w:rsidP="00546E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4BF3" w:rsidRPr="00274BF3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74BF3" w:rsidRDefault="00274BF3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1.2.Дополнить ст. 1 «Общие положения»</w:t>
      </w:r>
      <w:r w:rsidR="007C79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п. 1.13 «Ограничения при проведении проверки» и читать в новой редакции:</w:t>
      </w:r>
    </w:p>
    <w:p w:rsidR="00274BF3" w:rsidRDefault="00274BF3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F3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274BF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BF3" w:rsidRPr="00274BF3">
        <w:rPr>
          <w:rFonts w:ascii="Times New Roman" w:hAnsi="Times New Roman" w:cs="Times New Roman"/>
          <w:sz w:val="28"/>
          <w:szCs w:val="28"/>
        </w:rPr>
        <w:t>пр</w:t>
      </w:r>
      <w:r w:rsidR="00676FAA">
        <w:rPr>
          <w:rFonts w:ascii="Times New Roman" w:hAnsi="Times New Roman" w:cs="Times New Roman"/>
          <w:sz w:val="28"/>
          <w:szCs w:val="28"/>
        </w:rPr>
        <w:t xml:space="preserve">оверять выполнение </w:t>
      </w:r>
      <w:r w:rsidR="00274BF3" w:rsidRPr="00274BF3">
        <w:rPr>
          <w:rFonts w:ascii="Times New Roman" w:hAnsi="Times New Roman" w:cs="Times New Roman"/>
          <w:sz w:val="28"/>
          <w:szCs w:val="28"/>
        </w:rPr>
        <w:t>требован</w:t>
      </w:r>
      <w:r w:rsidR="00676FAA">
        <w:rPr>
          <w:rFonts w:ascii="Times New Roman" w:hAnsi="Times New Roman" w:cs="Times New Roman"/>
          <w:sz w:val="28"/>
          <w:szCs w:val="28"/>
        </w:rPr>
        <w:t xml:space="preserve">ий и требований, </w:t>
      </w:r>
      <w:r w:rsidR="00274BF3" w:rsidRPr="00274BF3">
        <w:rPr>
          <w:rFonts w:ascii="Times New Roman" w:hAnsi="Times New Roman" w:cs="Times New Roman"/>
          <w:sz w:val="28"/>
          <w:szCs w:val="28"/>
        </w:rPr>
        <w:t>если такие требования не относятся к полномочиям органа госу</w:t>
      </w:r>
      <w:r w:rsidR="00676FAA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274BF3" w:rsidRPr="00274BF3">
        <w:rPr>
          <w:rFonts w:ascii="Times New Roman" w:hAnsi="Times New Roman" w:cs="Times New Roman"/>
          <w:sz w:val="28"/>
          <w:szCs w:val="28"/>
        </w:rPr>
        <w:t>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пр</w:t>
      </w:r>
      <w:r w:rsidR="000F3DC8">
        <w:rPr>
          <w:rFonts w:ascii="Times New Roman" w:hAnsi="Times New Roman" w:cs="Times New Roman"/>
          <w:sz w:val="28"/>
          <w:szCs w:val="28"/>
        </w:rPr>
        <w:t xml:space="preserve">оверять выполнение </w:t>
      </w:r>
      <w:r w:rsidR="00B31123" w:rsidRPr="00B31123">
        <w:rPr>
          <w:rFonts w:ascii="Times New Roman" w:hAnsi="Times New Roman" w:cs="Times New Roman"/>
          <w:sz w:val="28"/>
          <w:szCs w:val="28"/>
        </w:rPr>
        <w:t>требован</w:t>
      </w:r>
      <w:r w:rsidR="000F3DC8">
        <w:rPr>
          <w:rFonts w:ascii="Times New Roman" w:hAnsi="Times New Roman" w:cs="Times New Roman"/>
          <w:sz w:val="28"/>
          <w:szCs w:val="28"/>
        </w:rPr>
        <w:t xml:space="preserve">ий, </w:t>
      </w:r>
      <w:r w:rsidR="00B31123" w:rsidRPr="00B31123">
        <w:rPr>
          <w:rFonts w:ascii="Times New Roman" w:hAnsi="Times New Roman" w:cs="Times New Roman"/>
          <w:sz w:val="28"/>
          <w:szCs w:val="28"/>
        </w:rPr>
        <w:t xml:space="preserve">не </w:t>
      </w:r>
      <w:r w:rsidR="000F3DC8">
        <w:rPr>
          <w:rFonts w:ascii="Times New Roman" w:hAnsi="Times New Roman" w:cs="Times New Roman"/>
          <w:sz w:val="28"/>
          <w:szCs w:val="28"/>
        </w:rPr>
        <w:t>опубликованных</w:t>
      </w:r>
      <w:r w:rsidR="00B31123" w:rsidRPr="00B3112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B31123" w:rsidRDefault="007C7986" w:rsidP="007C79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осущес</w:t>
      </w:r>
      <w:r w:rsidR="000F3DC8">
        <w:rPr>
          <w:rFonts w:ascii="Times New Roman" w:hAnsi="Times New Roman" w:cs="Times New Roman"/>
          <w:sz w:val="28"/>
          <w:szCs w:val="28"/>
        </w:rPr>
        <w:t xml:space="preserve">твлять </w:t>
      </w:r>
      <w:r w:rsidR="00B31123" w:rsidRPr="00B31123">
        <w:rPr>
          <w:rFonts w:ascii="Times New Roman" w:hAnsi="Times New Roman" w:cs="Times New Roman"/>
          <w:sz w:val="28"/>
          <w:szCs w:val="28"/>
        </w:rPr>
        <w:t>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</w:t>
      </w:r>
      <w:r>
        <w:rPr>
          <w:rFonts w:ascii="Times New Roman" w:hAnsi="Times New Roman" w:cs="Times New Roman"/>
          <w:sz w:val="28"/>
          <w:szCs w:val="28"/>
        </w:rPr>
        <w:t>ия такой проверки по соблюдению</w:t>
      </w:r>
      <w:r w:rsidRPr="007C7986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в случаях надлежащего уведомления собственников земельных участков, землепользователей, землевладельцев и</w:t>
      </w:r>
      <w:r w:rsidR="000F3DC8">
        <w:rPr>
          <w:rFonts w:ascii="Times New Roman" w:hAnsi="Times New Roman" w:cs="Times New Roman"/>
          <w:sz w:val="28"/>
          <w:szCs w:val="28"/>
        </w:rPr>
        <w:t xml:space="preserve"> арендаторов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по основанию причинения </w:t>
      </w:r>
      <w:r w:rsidRPr="007C7986">
        <w:rPr>
          <w:rFonts w:ascii="Times New Roman" w:hAnsi="Times New Roman" w:cs="Times New Roman"/>
          <w:sz w:val="28"/>
          <w:szCs w:val="28"/>
        </w:rPr>
        <w:t>вреда жизни, здоровью граждан, вреда животным, растениям, окружающей среде, объектам</w:t>
      </w:r>
      <w:proofErr w:type="gramEnd"/>
      <w:r w:rsidRPr="007C7986">
        <w:rPr>
          <w:rFonts w:ascii="Times New Roman" w:hAnsi="Times New Roman" w:cs="Times New Roman"/>
          <w:sz w:val="28"/>
          <w:szCs w:val="28"/>
        </w:rPr>
        <w:t xml:space="preserve"> культурного наследия, музейным п</w:t>
      </w:r>
      <w:r w:rsidR="000F3DC8">
        <w:rPr>
          <w:rFonts w:ascii="Times New Roman" w:hAnsi="Times New Roman" w:cs="Times New Roman"/>
          <w:sz w:val="28"/>
          <w:szCs w:val="28"/>
        </w:rPr>
        <w:t>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986">
        <w:rPr>
          <w:rFonts w:ascii="Times New Roman" w:hAnsi="Times New Roman" w:cs="Times New Roman"/>
          <w:sz w:val="28"/>
          <w:szCs w:val="28"/>
        </w:rPr>
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</w:t>
      </w:r>
      <w:r w:rsidR="000F3DC8">
        <w:rPr>
          <w:rFonts w:ascii="Times New Roman" w:hAnsi="Times New Roman" w:cs="Times New Roman"/>
          <w:sz w:val="28"/>
          <w:szCs w:val="28"/>
        </w:rPr>
        <w:t>предмету проверки</w:t>
      </w:r>
      <w:r w:rsidR="00B31123" w:rsidRPr="00B31123">
        <w:rPr>
          <w:rFonts w:ascii="Times New Roman" w:hAnsi="Times New Roman" w:cs="Times New Roman"/>
          <w:sz w:val="28"/>
          <w:szCs w:val="28"/>
        </w:rPr>
        <w:t>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</w:t>
      </w:r>
      <w:r w:rsidR="000F3DC8">
        <w:rPr>
          <w:rFonts w:ascii="Times New Roman" w:hAnsi="Times New Roman" w:cs="Times New Roman"/>
          <w:sz w:val="28"/>
          <w:szCs w:val="28"/>
        </w:rPr>
        <w:t>енные национальными стандартами</w:t>
      </w:r>
      <w:r w:rsidR="00B31123" w:rsidRPr="00B31123">
        <w:rPr>
          <w:rFonts w:ascii="Times New Roman" w:hAnsi="Times New Roman" w:cs="Times New Roman"/>
          <w:sz w:val="28"/>
          <w:szCs w:val="28"/>
        </w:rPr>
        <w:t>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</w:t>
      </w:r>
      <w:r w:rsidR="000F3DC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B31123" w:rsidRPr="00B31123">
        <w:rPr>
          <w:rFonts w:ascii="Times New Roman" w:hAnsi="Times New Roman" w:cs="Times New Roman"/>
          <w:sz w:val="28"/>
          <w:szCs w:val="28"/>
        </w:rPr>
        <w:t>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B31123" w:rsidRDefault="007C7986" w:rsidP="00274B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31123" w:rsidRDefault="00676FAA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6" w:anchor="dst100007" w:history="1">
        <w:r w:rsidR="00B31123" w:rsidRPr="00B311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676FAA" w:rsidRDefault="00676FAA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требовать от юридического лица, индивидуального предпринимателя пре</w:t>
      </w:r>
      <w:r w:rsidR="000F3DC8">
        <w:rPr>
          <w:rFonts w:ascii="Times New Roman" w:hAnsi="Times New Roman" w:cs="Times New Roman"/>
          <w:color w:val="auto"/>
          <w:sz w:val="28"/>
          <w:szCs w:val="28"/>
        </w:rPr>
        <w:t xml:space="preserve">дставления документов 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до даты начала проведения проверки. </w:t>
      </w:r>
    </w:p>
    <w:p w:rsidR="00B31123" w:rsidRDefault="00B31123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1.3.Дополнить Административный регламент ст. 6 «Единый реестр проверок» и читать в новой редакции:</w:t>
      </w:r>
    </w:p>
    <w:p w:rsidR="00676FAA" w:rsidRDefault="00B31123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123">
        <w:rPr>
          <w:rFonts w:ascii="Times New Roman" w:hAnsi="Times New Roman" w:cs="Times New Roman"/>
          <w:color w:val="auto"/>
          <w:sz w:val="28"/>
          <w:szCs w:val="28"/>
        </w:rPr>
        <w:t>В целях обеспечения учета проводимых при осуществлении государственного контроля (надзора), муниципального контроля про</w:t>
      </w:r>
      <w:r w:rsidR="00676FAA">
        <w:rPr>
          <w:rFonts w:ascii="Times New Roman" w:hAnsi="Times New Roman" w:cs="Times New Roman"/>
          <w:color w:val="auto"/>
          <w:sz w:val="28"/>
          <w:szCs w:val="28"/>
        </w:rPr>
        <w:t xml:space="preserve">верок, а также их результатов, </w:t>
      </w:r>
      <w:r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создается единый реестр проверок. </w:t>
      </w:r>
    </w:p>
    <w:p w:rsidR="00676FAA" w:rsidRDefault="00B31123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Единый реестр проверок является федеральной государственной информационной системой. </w:t>
      </w:r>
    </w:p>
    <w:p w:rsidR="00B31123" w:rsidRDefault="00B31123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123">
        <w:rPr>
          <w:rFonts w:ascii="Times New Roman" w:hAnsi="Times New Roman" w:cs="Times New Roman"/>
          <w:color w:val="auto"/>
          <w:sz w:val="28"/>
          <w:szCs w:val="28"/>
        </w:rPr>
        <w:t>Оператором единого реестра проверок является Генеральная прокуратура Российской Федерации.</w:t>
      </w:r>
    </w:p>
    <w:p w:rsidR="00B31123" w:rsidRPr="00B31123" w:rsidRDefault="000F3DC8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anchor="dst100011" w:history="1">
        <w:r w:rsidR="00B31123" w:rsidRPr="00B311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 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dst181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требования к порядку создания и ввода в эксплуатацию единого реестра проверок;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dst18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порядок присвоения в автоматическом режиме учетного номера проверки;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dst183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dst184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dst185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B31123" w:rsidRP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dst186"/>
      <w:bookmarkEnd w:id="6"/>
      <w:r w:rsidRPr="00B31123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187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учетный номер проверки;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188"/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информация, указываемая в распоряжении или приказе руководителя, заместителя руководителя органа государственного контроля (на</w:t>
      </w:r>
      <w:r>
        <w:rPr>
          <w:rFonts w:ascii="Times New Roman" w:hAnsi="Times New Roman" w:cs="Times New Roman"/>
          <w:color w:val="auto"/>
          <w:sz w:val="28"/>
          <w:szCs w:val="28"/>
        </w:rPr>
        <w:t>дзора), муниципального контроля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dst189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информация, указываемая в </w:t>
      </w:r>
      <w:r>
        <w:rPr>
          <w:rFonts w:ascii="Times New Roman" w:hAnsi="Times New Roman" w:cs="Times New Roman"/>
          <w:color w:val="auto"/>
          <w:sz w:val="28"/>
          <w:szCs w:val="28"/>
        </w:rPr>
        <w:t>акте проверки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dst19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указание результатов проверки;</w:t>
      </w:r>
    </w:p>
    <w:p w:rsidR="00B31123" w:rsidRPr="00B31123" w:rsidRDefault="00676FAA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191"/>
      <w:bookmarkEnd w:id="11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устранении выявленных нарушений, </w:t>
      </w:r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>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</w:t>
      </w:r>
      <w:proofErr w:type="gramEnd"/>
      <w:r w:rsidR="00B31123"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192"/>
      <w:bookmarkEnd w:id="12"/>
      <w:r w:rsidRPr="00B31123">
        <w:rPr>
          <w:rFonts w:ascii="Times New Roman" w:hAnsi="Times New Roman" w:cs="Times New Roman"/>
          <w:color w:val="auto"/>
          <w:sz w:val="28"/>
          <w:szCs w:val="28"/>
        </w:rPr>
        <w:t>Ведение единого реестра проверок, </w:t>
      </w:r>
      <w:hyperlink r:id="rId8" w:anchor="dst41" w:history="1">
        <w:r w:rsidRPr="00B311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внесение</w:t>
        </w:r>
      </w:hyperlink>
      <w:r w:rsidRPr="00B31123">
        <w:rPr>
          <w:rFonts w:ascii="Times New Roman" w:hAnsi="Times New Roman" w:cs="Times New Roman"/>
          <w:color w:val="auto"/>
          <w:sz w:val="28"/>
          <w:szCs w:val="28"/>
        </w:rPr>
        <w:t> в него соответствующей информац</w:t>
      </w:r>
      <w:proofErr w:type="gramStart"/>
      <w:r w:rsidRPr="00B31123">
        <w:rPr>
          <w:rFonts w:ascii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B31123">
        <w:rPr>
          <w:rFonts w:ascii="Times New Roman" w:hAnsi="Times New Roman" w:cs="Times New Roman"/>
          <w:color w:val="auto"/>
          <w:sz w:val="28"/>
          <w:szCs w:val="28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 </w:t>
      </w:r>
      <w:hyperlink r:id="rId9" w:anchor="dst0" w:history="1">
        <w:r w:rsidRPr="00B311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тайне</w:t>
        </w:r>
      </w:hyperlink>
      <w:r w:rsidRPr="00B311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 в сети «Интернет».</w:t>
      </w:r>
    </w:p>
    <w:p w:rsid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1123" w:rsidRDefault="00B31123" w:rsidP="00B3112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1123" w:rsidRDefault="00B31123" w:rsidP="00B3112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B31123" w:rsidRPr="00B31123" w:rsidRDefault="00B31123" w:rsidP="00B3112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М.Ф.Петрова</w:t>
      </w:r>
      <w:proofErr w:type="spellEnd"/>
    </w:p>
    <w:p w:rsidR="00B31123" w:rsidRPr="00B31123" w:rsidRDefault="00B31123" w:rsidP="00274BF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6821" w:rsidRDefault="000F3DC8"/>
    <w:sectPr w:rsidR="00C56821" w:rsidSect="000F3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9"/>
    <w:rsid w:val="000F3DC8"/>
    <w:rsid w:val="00274BF3"/>
    <w:rsid w:val="004409D9"/>
    <w:rsid w:val="00546ED1"/>
    <w:rsid w:val="00676FAA"/>
    <w:rsid w:val="007C7986"/>
    <w:rsid w:val="008A475B"/>
    <w:rsid w:val="009A42D2"/>
    <w:rsid w:val="00B21F22"/>
    <w:rsid w:val="00B31123"/>
    <w:rsid w:val="00B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D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1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1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D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1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1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957/0a4f7a0b76a1d4f24e58cc357fe3919276919a7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957/96949077afec67b891d36eaa0e753c1af78f17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981/38fdf5eb0c20ff9ea5fc4b1c3732c06eafc7cc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2</cp:revision>
  <cp:lastPrinted>2020-06-23T13:24:00Z</cp:lastPrinted>
  <dcterms:created xsi:type="dcterms:W3CDTF">2020-06-23T13:26:00Z</dcterms:created>
  <dcterms:modified xsi:type="dcterms:W3CDTF">2020-06-23T13:26:00Z</dcterms:modified>
</cp:coreProperties>
</file>