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AF" w:rsidRDefault="00617AAF" w:rsidP="00617AAF">
      <w:pPr>
        <w:pStyle w:val="a3"/>
        <w:jc w:val="center"/>
        <w:rPr>
          <w:rFonts w:ascii="Arial" w:hAnsi="Arial" w:cs="Arial"/>
          <w:color w:val="000000"/>
          <w:sz w:val="30"/>
          <w:szCs w:val="30"/>
        </w:rPr>
      </w:pPr>
      <w:r>
        <w:rPr>
          <w:rFonts w:ascii="Arial" w:hAnsi="Arial" w:cs="Arial"/>
          <w:color w:val="000000"/>
          <w:sz w:val="30"/>
          <w:szCs w:val="30"/>
        </w:rPr>
        <w:t> </w:t>
      </w:r>
      <w:r>
        <w:rPr>
          <w:rStyle w:val="a4"/>
          <w:rFonts w:ascii="Arial" w:hAnsi="Arial" w:cs="Arial"/>
          <w:color w:val="000000"/>
          <w:sz w:val="15"/>
          <w:szCs w:val="15"/>
        </w:rPr>
        <w:t>Порядок обжалования муниципальных правовых актов,</w:t>
      </w:r>
    </w:p>
    <w:p w:rsidR="00617AAF" w:rsidRDefault="00617AAF" w:rsidP="00617AAF">
      <w:pPr>
        <w:pStyle w:val="a3"/>
        <w:jc w:val="center"/>
        <w:rPr>
          <w:rFonts w:ascii="Arial" w:hAnsi="Arial" w:cs="Arial"/>
          <w:color w:val="000000"/>
          <w:sz w:val="30"/>
          <w:szCs w:val="30"/>
        </w:rPr>
      </w:pPr>
      <w:r>
        <w:rPr>
          <w:rStyle w:val="a4"/>
          <w:rFonts w:ascii="Arial" w:hAnsi="Arial" w:cs="Arial"/>
          <w:color w:val="000000"/>
          <w:sz w:val="30"/>
          <w:szCs w:val="30"/>
        </w:rPr>
        <w:t>принятых органами местного самоуправления Селивановского сельского поселения</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 Статья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 </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В соответствии с частью 1 статьи 48 ФЗ №131-ФЗ муниципальные правовые акты могут быть отменены или их действие может быть приостановлено: </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органами местного самоуправления и должностными лицами местного самоуправления, принявшими (издавшими) соответствующий муниципальный правовой акт;судом;</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 </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 xml:space="preserve">Данная норма, во-первых, подразумевает обязанность органов и должностных лиц местного самоуправления регулярно проводить мониторинг принятых ими муниципальных правовых актов и своевременно реагировать на меняющиеся условия правового пространства (вносить изменения, а при необходимости отменять устаревшие или не соответствующие законодательству акты, приостанавливать их действие на определенный срок или до прекращения обстоятельств, послуживших основанием для </w:t>
      </w:r>
      <w:r>
        <w:rPr>
          <w:rFonts w:ascii="Arial" w:hAnsi="Arial" w:cs="Arial"/>
          <w:color w:val="000000"/>
          <w:sz w:val="30"/>
          <w:szCs w:val="30"/>
        </w:rPr>
        <w:lastRenderedPageBreak/>
        <w:t>приостановления) в добровольном порядке. Во-вторых, устанавливает возможность вмешательства третьих лиц в решение вопроса о юридической судьбе муниципального правового акта, т.е. осуществления принудительных мер по реализации полномочий органов местного самоуправления.</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Отсюда вытекает, по сути, три самостоятельных способа защиты интересов граждан и юридических лиц, нарушенных принятием муниципального правового акта.</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В первую очередь у граждан есть конституционное право обращаться лично, а также направлять индивидуальные и коллективные обращения в органы местного самоуправления (ст. 33 Конституции РФ),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индивидуально-правовом. Более того, согласно ч. 2 ст. 24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Вторым способом защиты интересов граждан и организаций является оспаривание муниципальных правовых актов в судебном порядке.</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Согласно ч. 2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lastRenderedPageBreak/>
        <w:t>Так, в случае если ответ, касающийся муниципального правового акта, не устраивает гражданина, он вправе обратиться в суд. При этом гражданин вправе обращаться в суд для оспаривания муниципального правового акта, минуя предварительное обращение в органы местного самоуправления, поскольку законодательство не содержит требования об обращении в органы местного самоуправления в качестве обязательной досудебной стадии (ч. 2 ст. 247 ГПК РФ). Об этом же говорится в ч. 1 ст. 254 ГПК РФ: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Право выбора способа защиты нарушенных интересов принадлежит самому гражданину или организации.</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Анализ законодательства позволяет сделать вывод о том, что дела об оспаривании нормативных правовых актов подведомственны судам общей юрисдикции независимо о того, физическое или юридическое лицо обращается в суд, а также какие правоотношения регулирует оспариваемый нормативный правовой акт. Исключение составляют дела об оспаривании таких нормативных правовых актов, проверка конституционности которых отнесена к исключительной компетенции Конституционного Суда РФ, конституционного (уставного) суда субъекта РФ, и 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 (п. 2 ст. 29 АПК РФ).</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 xml:space="preserve">Согласно ч. 2 ст. 19 ФЗ № 131-ФЗ наделение органов местного самоуправления отдельными государственными полномочиями РФ осуществляется федеральными законами и законами субъектов РФ, отдельными государственными полномочиями субъектов РФ - законами субъектов РФ. В соответствии с ч. 2 ст. 7 ФЗ № 131-ФЗ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РФ, могут приниматься муниципальные правовые акты на основании и во исполнение положений, установленных </w:t>
      </w:r>
      <w:r>
        <w:rPr>
          <w:rFonts w:ascii="Arial" w:hAnsi="Arial" w:cs="Arial"/>
          <w:color w:val="000000"/>
          <w:sz w:val="30"/>
          <w:szCs w:val="30"/>
        </w:rPr>
        <w:lastRenderedPageBreak/>
        <w:t>соответствующими федеральными законами и (или) законами субъектов РФ.</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Статья 48 ФЗ №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17AAF" w:rsidRDefault="00617AAF" w:rsidP="00617AAF">
      <w:pPr>
        <w:pStyle w:val="a3"/>
        <w:jc w:val="both"/>
        <w:rPr>
          <w:rFonts w:ascii="Arial" w:hAnsi="Arial" w:cs="Arial"/>
          <w:color w:val="000000"/>
          <w:sz w:val="30"/>
          <w:szCs w:val="30"/>
        </w:rPr>
      </w:pPr>
      <w:r>
        <w:rPr>
          <w:rFonts w:ascii="Arial" w:hAnsi="Arial" w:cs="Arial"/>
          <w:color w:val="000000"/>
          <w:sz w:val="30"/>
          <w:szCs w:val="30"/>
        </w:rPr>
        <w:t>Согласно ч. 1 ст. 21 ФЗ № 131-ФЗ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(ч. 3 ст. 21 ФЗ № 131-ФЗ).</w:t>
      </w:r>
    </w:p>
    <w:p w:rsidR="00523E6F" w:rsidRPr="00617AAF" w:rsidRDefault="00523E6F" w:rsidP="00617AAF"/>
    <w:sectPr w:rsidR="00523E6F" w:rsidRPr="00617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617AAF"/>
    <w:rsid w:val="00523E6F"/>
    <w:rsid w:val="0061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A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7AAF"/>
    <w:rPr>
      <w:b/>
      <w:bCs/>
    </w:rPr>
  </w:style>
</w:styles>
</file>

<file path=word/webSettings.xml><?xml version="1.0" encoding="utf-8"?>
<w:webSettings xmlns:r="http://schemas.openxmlformats.org/officeDocument/2006/relationships" xmlns:w="http://schemas.openxmlformats.org/wordprocessingml/2006/main">
  <w:divs>
    <w:div w:id="19353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Company>Microsoft</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Redaktor</dc:creator>
  <cp:keywords/>
  <dc:description/>
  <cp:lastModifiedBy>Redaktor</cp:lastModifiedBy>
  <cp:revision>2</cp:revision>
  <dcterms:created xsi:type="dcterms:W3CDTF">2017-06-27T10:00:00Z</dcterms:created>
  <dcterms:modified xsi:type="dcterms:W3CDTF">2017-06-27T10:00:00Z</dcterms:modified>
</cp:coreProperties>
</file>