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72" w:rsidRPr="003B1972" w:rsidRDefault="003B1972" w:rsidP="003B1972">
      <w:pPr>
        <w:spacing w:after="200" w:line="276" w:lineRule="auto"/>
        <w:jc w:val="center"/>
        <w:rPr>
          <w:sz w:val="28"/>
          <w:szCs w:val="28"/>
        </w:rPr>
      </w:pPr>
      <w:r w:rsidRPr="003B1972">
        <w:rPr>
          <w:noProof/>
          <w:lang w:eastAsia="ru-RU"/>
        </w:rPr>
        <w:drawing>
          <wp:inline distT="0" distB="0" distL="0" distR="0" wp14:anchorId="634352F1" wp14:editId="28D1C955">
            <wp:extent cx="704850" cy="685800"/>
            <wp:effectExtent l="0" t="0" r="0" b="0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2" w:rsidRPr="003B1972" w:rsidRDefault="003B1972" w:rsidP="003B19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97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3B1972" w:rsidRPr="003B1972" w:rsidRDefault="003B1972" w:rsidP="003B19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9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3B1972" w:rsidRPr="003B1972" w:rsidRDefault="003B1972" w:rsidP="003B19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972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3B1972" w:rsidRPr="003B1972" w:rsidRDefault="003B1972" w:rsidP="003B19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97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B1972" w:rsidRPr="003B1972" w:rsidRDefault="003B1972" w:rsidP="003B19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972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3B1972" w:rsidRPr="003B1972" w:rsidRDefault="003B1972" w:rsidP="003B1972">
      <w:pPr>
        <w:spacing w:after="200" w:line="276" w:lineRule="auto"/>
        <w:ind w:left="-900"/>
        <w:jc w:val="center"/>
      </w:pPr>
    </w:p>
    <w:p w:rsidR="003B1972" w:rsidRPr="003B1972" w:rsidRDefault="003B1972" w:rsidP="003B197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7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3B1972" w:rsidRPr="003B1972" w:rsidRDefault="005D41E4" w:rsidP="005D41E4">
      <w:pPr>
        <w:spacing w:after="200" w:line="276" w:lineRule="auto"/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2023 года                                                                                                № 180</w:t>
      </w:r>
    </w:p>
    <w:p w:rsidR="003B1972" w:rsidRPr="003B1972" w:rsidRDefault="003B1972" w:rsidP="003B19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72" w:rsidRDefault="003B1972" w:rsidP="003B19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72">
        <w:rPr>
          <w:rFonts w:ascii="Times New Roman" w:hAnsi="Times New Roman" w:cs="Times New Roman"/>
          <w:b/>
          <w:sz w:val="28"/>
          <w:szCs w:val="28"/>
        </w:rPr>
        <w:t xml:space="preserve">Об установлении и введении в действие </w:t>
      </w:r>
    </w:p>
    <w:p w:rsidR="003B1972" w:rsidRDefault="003B1972" w:rsidP="003B19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7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 </w:t>
      </w:r>
    </w:p>
    <w:p w:rsidR="003B1972" w:rsidRDefault="003B1972" w:rsidP="003B19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72">
        <w:rPr>
          <w:rFonts w:ascii="Times New Roman" w:hAnsi="Times New Roman" w:cs="Times New Roman"/>
          <w:b/>
          <w:sz w:val="28"/>
          <w:szCs w:val="28"/>
        </w:rPr>
        <w:t xml:space="preserve">Селивановское сельское поселение Волховского муниципального района Ленинградской области налога на имущество физических лиц </w:t>
      </w:r>
    </w:p>
    <w:p w:rsidR="003B1972" w:rsidRPr="003B1972" w:rsidRDefault="003B1972" w:rsidP="003B19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72">
        <w:rPr>
          <w:rFonts w:ascii="Times New Roman" w:hAnsi="Times New Roman"/>
          <w:b/>
          <w:sz w:val="28"/>
          <w:szCs w:val="28"/>
        </w:rPr>
        <w:t>с 01.01.202</w:t>
      </w:r>
      <w:r>
        <w:rPr>
          <w:rFonts w:ascii="Times New Roman" w:hAnsi="Times New Roman"/>
          <w:b/>
          <w:sz w:val="28"/>
          <w:szCs w:val="28"/>
        </w:rPr>
        <w:t>4</w:t>
      </w:r>
      <w:r w:rsidRPr="003B1972">
        <w:rPr>
          <w:rFonts w:ascii="Times New Roman" w:hAnsi="Times New Roman"/>
          <w:b/>
          <w:sz w:val="28"/>
          <w:szCs w:val="28"/>
        </w:rPr>
        <w:t xml:space="preserve"> г.</w:t>
      </w:r>
    </w:p>
    <w:p w:rsidR="003B1972" w:rsidRPr="003B1972" w:rsidRDefault="003B1972" w:rsidP="003B1972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3B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7" w:history="1">
        <w:r w:rsidRPr="003B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Федерации, </w:t>
      </w:r>
      <w:hyperlink r:id="rId8" w:history="1">
        <w:r w:rsidRPr="003B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29.10.2015 года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Селивановского</w:t>
      </w:r>
      <w:proofErr w:type="spellEnd"/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поселения, Совет депутатов муниципального образования Селивановское сельское  поселение  Волховского  муниципального района Ленинградской области,</w:t>
      </w:r>
    </w:p>
    <w:p w:rsidR="003B1972" w:rsidRDefault="003B1972" w:rsidP="003B1972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 территории муниципального образования Селивановское сельское  поселение  Волховского  муниципального района Ленинградской области  налог на имущество физических лиц (далее - налог).</w:t>
      </w: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на территории муниципального образования Селивановское сельское  поселение  Волховского  муниципального района Ленинградской области  следующие ставки налога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кадастровой стоимости объекта налогообложения:</w:t>
      </w: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 налогообложения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 на имущество физических лиц, проценты</w:t>
            </w:r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3B197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7 статьи 378.2</w:t>
              </w:r>
            </w:hyperlink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3B197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абзацем вторым пункта 10 статьи 378.2</w:t>
              </w:r>
            </w:hyperlink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vAlign w:val="center"/>
          </w:tcPr>
          <w:p w:rsidR="003B1972" w:rsidRPr="003B1972" w:rsidRDefault="005D41E4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B1972" w:rsidRPr="003B1972" w:rsidTr="004F2611">
        <w:tc>
          <w:tcPr>
            <w:tcW w:w="7143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1928" w:type="dxa"/>
            <w:vAlign w:val="center"/>
          </w:tcPr>
          <w:p w:rsidR="003B1972" w:rsidRPr="003B1972" w:rsidRDefault="003B1972" w:rsidP="003B197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3.Признать утратившим силу с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hyperlink r:id="rId11" w:history="1">
        <w:r w:rsidRPr="003B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муниципального  образования   Селивановское  сельское  поселение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 от  15.11.2022</w:t>
      </w: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подлежит официальному опубликованию в газете «</w:t>
      </w:r>
      <w:proofErr w:type="spellStart"/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2" w:rsidRPr="003B1972" w:rsidRDefault="003B1972" w:rsidP="003B1972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1972" w:rsidRPr="003B1972" w:rsidRDefault="003B1972" w:rsidP="003B1972">
      <w:pPr>
        <w:spacing w:after="200" w:line="276" w:lineRule="auto"/>
      </w:pPr>
      <w:r w:rsidRPr="003B1972">
        <w:rPr>
          <w:rFonts w:ascii="Times New Roman" w:hAnsi="Times New Roman" w:cs="Times New Roman"/>
          <w:sz w:val="28"/>
          <w:szCs w:val="28"/>
        </w:rPr>
        <w:t xml:space="preserve">Селивановское сельское поселение                                             Н.И. Петров     </w:t>
      </w:r>
    </w:p>
    <w:sectPr w:rsidR="003B1972" w:rsidRPr="003B1972" w:rsidSect="005B3C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2"/>
    <w:rsid w:val="00137150"/>
    <w:rsid w:val="003B1972"/>
    <w:rsid w:val="005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2023-11-16T06:58:00Z</cp:lastPrinted>
  <dcterms:created xsi:type="dcterms:W3CDTF">2023-11-15T12:08:00Z</dcterms:created>
  <dcterms:modified xsi:type="dcterms:W3CDTF">2023-11-16T06:58:00Z</dcterms:modified>
</cp:coreProperties>
</file>